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4A" w:rsidRPr="001D3C4A" w:rsidRDefault="00D770F2" w:rsidP="001D3C4A">
      <w:pPr>
        <w:pStyle w:val="aa"/>
        <w:rPr>
          <w:rFonts w:eastAsia="Times New Roman"/>
          <w:b/>
          <w:sz w:val="28"/>
        </w:rPr>
      </w:pPr>
      <w:r w:rsidRPr="001D3C4A">
        <w:rPr>
          <w:rFonts w:eastAsia="Times New Roman"/>
          <w:b/>
          <w:sz w:val="28"/>
        </w:rPr>
        <w:t xml:space="preserve">               </w:t>
      </w:r>
      <w:r w:rsidR="001D3C4A" w:rsidRPr="001D3C4A">
        <w:rPr>
          <w:rFonts w:ascii="Times New Roman" w:eastAsia="Times New Roman" w:hAnsi="Times New Roman"/>
          <w:b/>
          <w:color w:val="000000"/>
          <w:sz w:val="24"/>
          <w:szCs w:val="20"/>
        </w:rPr>
        <w:t>Информация о материально-техническом обеспечении образовательной деятельности (в том чи</w:t>
      </w:r>
      <w:r w:rsidR="001D3C4A" w:rsidRPr="001D3C4A">
        <w:rPr>
          <w:rFonts w:ascii="Times New Roman" w:eastAsia="Times New Roman" w:hAnsi="Times New Roman"/>
          <w:b/>
          <w:color w:val="000000"/>
          <w:sz w:val="24"/>
          <w:szCs w:val="20"/>
        </w:rPr>
        <w:t>с</w:t>
      </w:r>
      <w:r w:rsidR="001D3C4A" w:rsidRPr="001D3C4A">
        <w:rPr>
          <w:rFonts w:ascii="Times New Roman" w:eastAsia="Times New Roman" w:hAnsi="Times New Roman"/>
          <w:b/>
          <w:color w:val="000000"/>
          <w:sz w:val="24"/>
          <w:szCs w:val="20"/>
        </w:rPr>
        <w:t>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:rsidR="001D3C4A" w:rsidRDefault="001D3C4A" w:rsidP="001D3C4A">
      <w:pPr>
        <w:pStyle w:val="aa"/>
        <w:rPr>
          <w:rFonts w:eastAsia="Times New Roman"/>
        </w:rPr>
      </w:pPr>
    </w:p>
    <w:p w:rsidR="001D3C4A" w:rsidRDefault="001D3C4A" w:rsidP="001D3C4A">
      <w:pPr>
        <w:pStyle w:val="aa"/>
        <w:rPr>
          <w:rFonts w:eastAsia="Times New Roman"/>
        </w:rPr>
      </w:pPr>
    </w:p>
    <w:p w:rsidR="001D3C4A" w:rsidRDefault="001D3C4A" w:rsidP="001D3C4A">
      <w:pPr>
        <w:pStyle w:val="aa"/>
        <w:rPr>
          <w:rFonts w:eastAsia="Times New Roman"/>
        </w:rPr>
      </w:pPr>
      <w:r>
        <w:rPr>
          <w:rFonts w:eastAsia="Times New Roman"/>
        </w:rPr>
        <w:t>Частично оборудованы кабинеты  информатики  (имеется  6 моноблок , 2 принтера, интерактивная доска, проектор</w:t>
      </w:r>
      <w:proofErr w:type="gramStart"/>
      <w:r>
        <w:rPr>
          <w:rFonts w:eastAsia="Times New Roman"/>
        </w:rPr>
        <w:t>, )</w:t>
      </w:r>
      <w:proofErr w:type="gramEnd"/>
    </w:p>
    <w:p w:rsidR="001D3C4A" w:rsidRDefault="001D3C4A" w:rsidP="001D3C4A">
      <w:pPr>
        <w:pStyle w:val="aa"/>
        <w:rPr>
          <w:rFonts w:eastAsia="Times New Roman"/>
        </w:rPr>
      </w:pPr>
      <w:r>
        <w:rPr>
          <w:rFonts w:eastAsia="Times New Roman"/>
        </w:rPr>
        <w:t>Имеется  кабинет точки роста (биологии, химии и физики) тоже частично оборудованы</w:t>
      </w:r>
    </w:p>
    <w:p w:rsidR="001D3C4A" w:rsidRDefault="001D3C4A" w:rsidP="001D3C4A">
      <w:pPr>
        <w:pStyle w:val="aa"/>
        <w:rPr>
          <w:rFonts w:eastAsia="Times New Roman"/>
        </w:rPr>
      </w:pPr>
    </w:p>
    <w:p w:rsidR="001D3C4A" w:rsidRPr="001D3C4A" w:rsidRDefault="00D770F2" w:rsidP="001D3C4A">
      <w:pPr>
        <w:pStyle w:val="aa"/>
        <w:rPr>
          <w:rFonts w:eastAsia="Times New Roman"/>
        </w:rPr>
      </w:pPr>
      <w:r>
        <w:rPr>
          <w:rFonts w:eastAsia="Times New Roman"/>
        </w:rPr>
        <w:t xml:space="preserve">  </w:t>
      </w:r>
      <w:r w:rsidR="001D3C4A" w:rsidRPr="001D3C4A">
        <w:rPr>
          <w:rFonts w:eastAsia="Times New Roman"/>
        </w:rPr>
        <w:t xml:space="preserve">Спортивный зал: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- площадка для </w:t>
      </w:r>
      <w:proofErr w:type="spellStart"/>
      <w:r w:rsidRPr="001D3C4A">
        <w:rPr>
          <w:rFonts w:eastAsia="Times New Roman"/>
        </w:rPr>
        <w:t>воркаута</w:t>
      </w:r>
      <w:proofErr w:type="spellEnd"/>
    </w:p>
    <w:p w:rsidR="001D3C4A" w:rsidRPr="001D3C4A" w:rsidRDefault="001D3C4A" w:rsidP="001D3C4A">
      <w:pPr>
        <w:pStyle w:val="aa"/>
        <w:rPr>
          <w:rFonts w:eastAsia="Times New Roman"/>
        </w:rPr>
      </w:pPr>
      <w:proofErr w:type="gramStart"/>
      <w:r w:rsidRPr="001D3C4A">
        <w:rPr>
          <w:rFonts w:eastAsia="Times New Roman"/>
        </w:rPr>
        <w:t xml:space="preserve"> Мячи: набивной 1 кг и 2 кг; мяч малый  (теннисный),  мяч   малый  мягкий);  </w:t>
      </w:r>
      <w:proofErr w:type="gramEnd"/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мячи баскетбольные-1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мячи волейбольные-2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мячи футбольные-1      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-Скакалка детская -1   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Щит баскетбольный тренировочный-2            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Сетка волейбольная-1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Аптечка-1         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Теннисный стол -2;            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Сетка  и  ракетки  для    игры в </w:t>
      </w:r>
      <w:proofErr w:type="gramStart"/>
      <w:r w:rsidRPr="001D3C4A">
        <w:rPr>
          <w:rFonts w:eastAsia="Times New Roman"/>
        </w:rPr>
        <w:t>настольный</w:t>
      </w:r>
      <w:proofErr w:type="gramEnd"/>
      <w:r w:rsidRPr="001D3C4A">
        <w:rPr>
          <w:rFonts w:eastAsia="Times New Roman"/>
        </w:rPr>
        <w:t xml:space="preserve"> теннис-3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 Шахматы (с доской)-2              </w:t>
      </w:r>
    </w:p>
    <w:p w:rsidR="001D3C4A" w:rsidRP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>-Шашки -3</w:t>
      </w:r>
    </w:p>
    <w:p w:rsidR="001D3C4A" w:rsidRDefault="001D3C4A" w:rsidP="001D3C4A">
      <w:pPr>
        <w:pStyle w:val="aa"/>
        <w:rPr>
          <w:rFonts w:eastAsia="Times New Roman"/>
        </w:rPr>
      </w:pPr>
      <w:r w:rsidRPr="001D3C4A">
        <w:rPr>
          <w:rFonts w:eastAsia="Times New Roman"/>
        </w:rPr>
        <w:t xml:space="preserve">-гранаты-4                               - площадка для </w:t>
      </w:r>
      <w:proofErr w:type="spellStart"/>
      <w:r w:rsidRPr="001D3C4A">
        <w:rPr>
          <w:rFonts w:eastAsia="Times New Roman"/>
        </w:rPr>
        <w:t>воркаута</w:t>
      </w:r>
      <w:proofErr w:type="spellEnd"/>
      <w:r w:rsidRPr="001D3C4A">
        <w:rPr>
          <w:rFonts w:eastAsia="Times New Roman"/>
        </w:rPr>
        <w:t xml:space="preserve"> -2 комплекта,                            гиря -1, штанга-1, турник-1,</w:t>
      </w:r>
      <w:r w:rsidR="00D770F2">
        <w:rPr>
          <w:rFonts w:eastAsia="Times New Roman"/>
        </w:rPr>
        <w:t xml:space="preserve">                     </w:t>
      </w:r>
    </w:p>
    <w:p w:rsidR="001D3C4A" w:rsidRPr="001D3C4A" w:rsidRDefault="001D3C4A" w:rsidP="001D3C4A"/>
    <w:p w:rsidR="001D3C4A" w:rsidRPr="001D3C4A" w:rsidRDefault="001D3C4A" w:rsidP="001D3C4A">
      <w:pPr>
        <w:rPr>
          <w:b/>
          <w:sz w:val="28"/>
        </w:rPr>
      </w:pPr>
      <w:r w:rsidRPr="001D3C4A">
        <w:rPr>
          <w:rFonts w:ascii="Times New Roman" w:eastAsia="Times New Roman" w:hAnsi="Times New Roman"/>
          <w:b/>
          <w:sz w:val="24"/>
          <w:szCs w:val="20"/>
        </w:rPr>
        <w:t>Информация об условиях питания обучающихся, в том числе инвалидов и лиц с ограниченными возможностями здоровья⁵</w:t>
      </w:r>
    </w:p>
    <w:p w:rsidR="001D3C4A" w:rsidRDefault="001D3C4A" w:rsidP="001D3C4A">
      <w:r>
        <w:t>Имеется  пищеблок</w:t>
      </w:r>
      <w:proofErr w:type="gramStart"/>
      <w:r>
        <w:t xml:space="preserve">  ,</w:t>
      </w:r>
      <w:proofErr w:type="gramEnd"/>
      <w:r>
        <w:t xml:space="preserve"> общая площадь 36кв.м.  20 посадочных мест </w:t>
      </w:r>
    </w:p>
    <w:p w:rsidR="001D3C4A" w:rsidRDefault="001D3C4A" w:rsidP="001D3C4A"/>
    <w:p w:rsidR="001D3C4A" w:rsidRDefault="001D3C4A" w:rsidP="001D3C4A">
      <w:pPr>
        <w:rPr>
          <w:b/>
          <w:sz w:val="32"/>
        </w:rPr>
      </w:pPr>
      <w:r w:rsidRPr="001D3C4A">
        <w:rPr>
          <w:rFonts w:ascii="Times New Roman" w:eastAsia="Times New Roman" w:hAnsi="Times New Roman"/>
          <w:b/>
          <w:sz w:val="28"/>
          <w:szCs w:val="20"/>
        </w:rPr>
        <w:t>Информация об условиях охраны здоровья обучающихся, в том числе инвалидов и лиц с огран</w:t>
      </w:r>
      <w:r w:rsidRPr="001D3C4A">
        <w:rPr>
          <w:rFonts w:ascii="Times New Roman" w:eastAsia="Times New Roman" w:hAnsi="Times New Roman"/>
          <w:b/>
          <w:sz w:val="28"/>
          <w:szCs w:val="20"/>
        </w:rPr>
        <w:t>и</w:t>
      </w:r>
      <w:r w:rsidRPr="001D3C4A">
        <w:rPr>
          <w:rFonts w:ascii="Times New Roman" w:eastAsia="Times New Roman" w:hAnsi="Times New Roman"/>
          <w:b/>
          <w:sz w:val="28"/>
          <w:szCs w:val="20"/>
        </w:rPr>
        <w:t>ченными возможностями здоровья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оказание первичной медико-санитарной помощи в порядке, установленном законодательством в сфере охраны здоровья;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организация питания учащихся;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•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пропаганда и обучение навыкам здорового образа жизни, требованиям охраны труда;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обеспечение безопасности учащихся во время пребывания в школе;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 • профилактика несчастных случаев с учащимися во время пребывания в школе;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lastRenderedPageBreak/>
        <w:t> • проведение санитарно-противоэпидемических и профилактических мероприятий.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Оказание первичной медико-санитарной помощи.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>
        <w:t>медицинских</w:t>
      </w:r>
      <w:proofErr w:type="gramEnd"/>
      <w:r>
        <w:t xml:space="preserve"> кабинет в соответствии с предъявляемыми требованиями. </w:t>
      </w:r>
      <w:proofErr w:type="gramStart"/>
      <w: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ГУЗ ЯО Детская поликлиника № 5.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Организации питания учащихся.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Организация питания обучающихся осуществляется согласно приказу образовательной организации от «01» сентября 2016 г. № 249/2 «Об организации питания в школе» и в соответствии с договором от «3» марта 2017 г.  ООО «Социальное питание»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>
        <w:t>торговотехнологическим</w:t>
      </w:r>
      <w:proofErr w:type="spellEnd"/>
      <w:r>
        <w:t xml:space="preserve">, холодильным, </w:t>
      </w:r>
      <w:proofErr w:type="spellStart"/>
      <w:r>
        <w:t>весоизмерительным</w:t>
      </w:r>
      <w:proofErr w:type="spellEnd"/>
      <w:r>
        <w:t>), инвентарём;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предусмотрены помещения для приёма пищи (240 посадочных мест);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 • разработан и утверждён порядок питания учащихся (режим работы столовой, время перемен для принятия пищи).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 xml:space="preserve">Определение оптимальной учебной, </w:t>
      </w:r>
      <w:proofErr w:type="spellStart"/>
      <w:r>
        <w:rPr>
          <w:rStyle w:val="af1"/>
          <w:rFonts w:ascii="Tahoma" w:hAnsi="Tahoma" w:cs="Tahoma"/>
          <w:color w:val="000080"/>
          <w:sz w:val="21"/>
          <w:szCs w:val="21"/>
        </w:rPr>
        <w:t>внеучебной</w:t>
      </w:r>
      <w:proofErr w:type="spellEnd"/>
      <w:r>
        <w:rPr>
          <w:rStyle w:val="af1"/>
          <w:rFonts w:ascii="Tahoma" w:hAnsi="Tahoma" w:cs="Tahoma"/>
          <w:color w:val="000080"/>
          <w:sz w:val="21"/>
          <w:szCs w:val="21"/>
        </w:rPr>
        <w:t xml:space="preserve"> нагрузки, режима учебных занятий и продолжительности каникул.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         </w:t>
      </w:r>
      <w:proofErr w:type="gramStart"/>
      <w:r>
        <w:t xml:space="preserve">На основании пунктов 15—17 приказа </w:t>
      </w:r>
      <w:proofErr w:type="spellStart"/>
      <w:r>
        <w:t>Минобрнауки</w:t>
      </w:r>
      <w:proofErr w:type="spellEnd"/>
      <w: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>
        <w:t>Минобрнауки</w:t>
      </w:r>
      <w:proofErr w:type="spellEnd"/>
      <w: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>
        <w:t>Минобрнауки</w:t>
      </w:r>
      <w:proofErr w:type="spellEnd"/>
      <w: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lastRenderedPageBreak/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>
        <w:t>Минобрнауки</w:t>
      </w:r>
      <w:proofErr w:type="spellEnd"/>
      <w:r>
        <w:t xml:space="preserve"> РФ от 13 мая 2013 г. № ИР-352/09 «Об утверждении программы развития воспитательной компоненты в </w:t>
      </w:r>
      <w:bookmarkStart w:id="0" w:name="_GoBack"/>
      <w:bookmarkEnd w:id="0"/>
      <w:r>
        <w:t xml:space="preserve">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>
        <w:t>здоровьесберегающее</w:t>
      </w:r>
      <w:proofErr w:type="spellEnd"/>
      <w: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>
        <w:t>здоровьесберегающими</w:t>
      </w:r>
      <w:proofErr w:type="spellEnd"/>
      <w: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Центр дополнительного образования, в котором, в рамках  спортивно-оздоровительного направления организованы кружки и секции: «Баскетбол», «Спортивные игры», «Волейбол», «Футбол», «Лыжи», «Спортивная стрельба», ОФП. В плане работы школы запланированы дни здоровья, участие школьных спортивных команд во </w:t>
      </w:r>
      <w:proofErr w:type="spellStart"/>
      <w:r>
        <w:t>внутришкольных</w:t>
      </w:r>
      <w:proofErr w:type="spellEnd"/>
      <w:r>
        <w:t xml:space="preserve">, районных, городских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>
        <w:t>и.т.д</w:t>
      </w:r>
      <w:proofErr w:type="spellEnd"/>
      <w:r>
        <w:t>. Профилактическая работа по вопросам здорового и безопасного образа жизни осуществляется в сотрудничестве с медицинским персоналом ГУЗ ЯО Детская поликлиника № 5, специалистами Городского центра психолого-медико-социального сопровождения.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Прохождение учащимися периодических медицинских осмотров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и диспансеризации.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proofErr w:type="gramStart"/>
      <w: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>
        <w:t>девиантного</w:t>
      </w:r>
      <w:proofErr w:type="spellEnd"/>
      <w: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Городского центра психолого-медико-социального сопровождения.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Система обеспечения безопасности учащихся во время пребывания в школе.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Формируется и достигается комплексная безопасность школы в процессе реализаций следующих направлений: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</w:t>
      </w:r>
      <w:r>
        <w:lastRenderedPageBreak/>
        <w:t>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>
        <w:t>Минобрнауки</w:t>
      </w:r>
      <w:proofErr w:type="spellEnd"/>
      <w: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>
        <w:t>от</w:t>
      </w:r>
      <w:proofErr w:type="gramEnd"/>
      <w: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• Информационная безопасность (письмо </w:t>
      </w:r>
      <w:proofErr w:type="spellStart"/>
      <w:r>
        <w:t>Минздравсоцразвития</w:t>
      </w:r>
      <w:proofErr w:type="spellEnd"/>
      <w: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proofErr w:type="gramStart"/>
      <w: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 xml:space="preserve">- </w:t>
      </w:r>
      <w:proofErr w:type="gramStart"/>
      <w:r>
        <w:t>Официальный</w:t>
      </w:r>
      <w:proofErr w:type="gramEnd"/>
      <w:r>
        <w:t xml:space="preserve"> сайта школы адаптирован для лиц с нарушением зрения (слабовидящих);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Профилактика несчастных случаев с учащимися во время пребывания в школе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   </w:rPr>
        <w:t>Проведение санитарно-противоэпидемических и профилактических мероприятий</w:t>
      </w:r>
    </w:p>
    <w:p w:rsidR="001D3C4A" w:rsidRDefault="001D3C4A" w:rsidP="00495496">
      <w:pPr>
        <w:pStyle w:val="aa"/>
        <w:rPr>
          <w:rFonts w:ascii="Arial" w:hAnsi="Arial" w:cs="Arial"/>
          <w:color w:val="000000"/>
        </w:rPr>
      </w:pPr>
      <w:proofErr w:type="gramStart"/>
      <w: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  <w:proofErr w:type="gramEnd"/>
    </w:p>
    <w:p w:rsidR="00495496" w:rsidRDefault="00495496" w:rsidP="001D3C4A">
      <w:pPr>
        <w:rPr>
          <w:sz w:val="32"/>
        </w:rPr>
      </w:pPr>
    </w:p>
    <w:p w:rsidR="00495496" w:rsidRDefault="00495496" w:rsidP="00495496">
      <w:pPr>
        <w:rPr>
          <w:b/>
          <w:sz w:val="44"/>
        </w:rPr>
      </w:pPr>
      <w:r w:rsidRPr="00495496">
        <w:rPr>
          <w:rFonts w:ascii="Times New Roman" w:eastAsia="Times New Roman" w:hAnsi="Times New Roman"/>
          <w:b/>
          <w:sz w:val="28"/>
          <w:szCs w:val="20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ИНФОРМАЦИОННАЯ БЕЗОПАСНОСТЬ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</w:t>
      </w:r>
      <w:r>
        <w:rPr>
          <w:rFonts w:ascii="Arial" w:hAnsi="Arial" w:cs="Arial"/>
          <w:color w:val="222222"/>
        </w:rPr>
        <w:lastRenderedPageBreak/>
        <w:t>пр</w:t>
      </w:r>
      <w:r>
        <w:rPr>
          <w:rFonts w:ascii="Arial" w:hAnsi="Arial" w:cs="Arial"/>
          <w:color w:val="222222"/>
        </w:rPr>
        <w:t>и работе с официальным сайтом МК</w:t>
      </w:r>
      <w:r>
        <w:rPr>
          <w:rFonts w:ascii="Arial" w:hAnsi="Arial" w:cs="Arial"/>
          <w:color w:val="222222"/>
        </w:rPr>
        <w:t xml:space="preserve">ОУ </w:t>
      </w:r>
      <w:r>
        <w:rPr>
          <w:rFonts w:ascii="Arial" w:hAnsi="Arial" w:cs="Arial"/>
          <w:color w:val="222222"/>
        </w:rPr>
        <w:t>«</w:t>
      </w:r>
      <w:proofErr w:type="spellStart"/>
      <w:r>
        <w:rPr>
          <w:rFonts w:ascii="Arial" w:hAnsi="Arial" w:cs="Arial"/>
          <w:color w:val="222222"/>
        </w:rPr>
        <w:t>Зиловская</w:t>
      </w:r>
      <w:proofErr w:type="spellEnd"/>
      <w:r>
        <w:rPr>
          <w:rFonts w:ascii="Arial" w:hAnsi="Arial" w:cs="Arial"/>
          <w:color w:val="222222"/>
        </w:rPr>
        <w:t xml:space="preserve">  </w:t>
      </w:r>
      <w:r>
        <w:rPr>
          <w:rFonts w:ascii="Arial" w:hAnsi="Arial" w:cs="Arial"/>
          <w:color w:val="222222"/>
        </w:rPr>
        <w:t>СОШ</w:t>
      </w:r>
      <w:r>
        <w:rPr>
          <w:rFonts w:ascii="Arial" w:hAnsi="Arial" w:cs="Arial"/>
          <w:color w:val="222222"/>
        </w:rPr>
        <w:t xml:space="preserve">» </w:t>
      </w:r>
      <w:r>
        <w:rPr>
          <w:rFonts w:ascii="Arial" w:hAnsi="Arial" w:cs="Arial"/>
          <w:color w:val="222222"/>
        </w:rPr>
        <w:t xml:space="preserve"> и с другими сайтами образовательной направленности, на которых существует версия </w:t>
      </w:r>
      <w:proofErr w:type="gramStart"/>
      <w:r>
        <w:rPr>
          <w:rFonts w:ascii="Arial" w:hAnsi="Arial" w:cs="Arial"/>
          <w:color w:val="222222"/>
        </w:rPr>
        <w:t>для</w:t>
      </w:r>
      <w:proofErr w:type="gramEnd"/>
      <w:r>
        <w:rPr>
          <w:rFonts w:ascii="Arial" w:hAnsi="Arial" w:cs="Arial"/>
          <w:color w:val="222222"/>
        </w:rPr>
        <w:t xml:space="preserve"> слабовидящих.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Информационная база школы оснащена: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— электронной почтой;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— локальной сетью;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— выходом в Интернет;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— функционирует официальный сайт школы.</w:t>
      </w:r>
    </w:p>
    <w:p w:rsidR="00495496" w:rsidRDefault="00495496" w:rsidP="00495496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222222"/>
          <w:sz w:val="36"/>
        </w:rPr>
      </w:pPr>
      <w:r w:rsidRPr="00495496">
        <w:rPr>
          <w:b/>
          <w:sz w:val="28"/>
          <w:szCs w:val="20"/>
        </w:rPr>
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</w:t>
      </w:r>
      <w:r w:rsidRPr="00495496">
        <w:rPr>
          <w:b/>
          <w:sz w:val="28"/>
          <w:szCs w:val="20"/>
        </w:rPr>
        <w:t>н</w:t>
      </w:r>
      <w:r w:rsidRPr="00495496">
        <w:rPr>
          <w:b/>
          <w:sz w:val="28"/>
          <w:szCs w:val="20"/>
        </w:rPr>
        <w:t>ными возможностями здоровья</w:t>
      </w:r>
    </w:p>
    <w:p w:rsidR="00495496" w:rsidRDefault="00495496" w:rsidP="00495496"/>
    <w:p w:rsidR="00495496" w:rsidRDefault="00495496" w:rsidP="00495496">
      <w:r>
        <w:t xml:space="preserve">Нет  </w:t>
      </w:r>
    </w:p>
    <w:p w:rsidR="00495496" w:rsidRDefault="00495496" w:rsidP="00495496"/>
    <w:p w:rsidR="00495496" w:rsidRDefault="00495496" w:rsidP="00495496">
      <w:pPr>
        <w:rPr>
          <w:b/>
          <w:sz w:val="32"/>
        </w:rPr>
      </w:pPr>
      <w:r w:rsidRPr="00495496">
        <w:rPr>
          <w:rFonts w:ascii="Times New Roman" w:eastAsia="Times New Roman" w:hAnsi="Times New Roman"/>
          <w:b/>
          <w:sz w:val="28"/>
          <w:szCs w:val="20"/>
        </w:rPr>
        <w:t>Информация об обеспечении доступа в здания образовательной организации инвалидов и лиц с ограниченными возможностями здоровья</w:t>
      </w:r>
    </w:p>
    <w:p w:rsidR="00495496" w:rsidRDefault="00495496" w:rsidP="00495496">
      <w:pPr>
        <w:rPr>
          <w:sz w:val="32"/>
        </w:rPr>
      </w:pPr>
      <w:r>
        <w:rPr>
          <w:sz w:val="32"/>
        </w:rPr>
        <w:t xml:space="preserve"> Имеется  наклонная площадка  для пандуса</w:t>
      </w:r>
    </w:p>
    <w:p w:rsidR="00495496" w:rsidRDefault="00495496" w:rsidP="00495496">
      <w:pPr>
        <w:rPr>
          <w:sz w:val="32"/>
        </w:rPr>
      </w:pPr>
    </w:p>
    <w:p w:rsidR="00495496" w:rsidRDefault="00495496" w:rsidP="00495496">
      <w:pPr>
        <w:rPr>
          <w:b/>
          <w:sz w:val="44"/>
        </w:rPr>
      </w:pPr>
      <w:r w:rsidRPr="00495496">
        <w:rPr>
          <w:rFonts w:ascii="Times New Roman" w:eastAsia="Times New Roman" w:hAnsi="Times New Roman"/>
          <w:b/>
          <w:sz w:val="28"/>
          <w:szCs w:val="20"/>
        </w:rPr>
        <w:t>Информация о наличии специальных технических средств обучения коллективного и индивид</w:t>
      </w:r>
      <w:r w:rsidRPr="00495496">
        <w:rPr>
          <w:rFonts w:ascii="Times New Roman" w:eastAsia="Times New Roman" w:hAnsi="Times New Roman"/>
          <w:b/>
          <w:sz w:val="28"/>
          <w:szCs w:val="20"/>
        </w:rPr>
        <w:t>у</w:t>
      </w:r>
      <w:r w:rsidRPr="00495496">
        <w:rPr>
          <w:rFonts w:ascii="Times New Roman" w:eastAsia="Times New Roman" w:hAnsi="Times New Roman"/>
          <w:b/>
          <w:sz w:val="28"/>
          <w:szCs w:val="20"/>
        </w:rPr>
        <w:t>ального пользования для инвалидов и лиц с ограниченными возможностями здоровья</w:t>
      </w:r>
    </w:p>
    <w:p w:rsidR="00495496" w:rsidRDefault="00495496" w:rsidP="00495496">
      <w:pPr>
        <w:rPr>
          <w:sz w:val="44"/>
        </w:rPr>
      </w:pPr>
    </w:p>
    <w:p w:rsidR="00ED7ACE" w:rsidRPr="00495496" w:rsidRDefault="00495496" w:rsidP="00495496">
      <w:pPr>
        <w:pStyle w:val="aa"/>
      </w:pPr>
      <w:r>
        <w:t xml:space="preserve">Нет </w:t>
      </w:r>
    </w:p>
    <w:sectPr w:rsidR="00ED7ACE" w:rsidRPr="00495496" w:rsidSect="009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04" w:rsidRDefault="00A31104" w:rsidP="001D3C4A">
      <w:pPr>
        <w:spacing w:after="0" w:line="240" w:lineRule="auto"/>
      </w:pPr>
      <w:r>
        <w:separator/>
      </w:r>
    </w:p>
  </w:endnote>
  <w:endnote w:type="continuationSeparator" w:id="0">
    <w:p w:rsidR="00A31104" w:rsidRDefault="00A31104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04" w:rsidRDefault="00A31104" w:rsidP="001D3C4A">
      <w:pPr>
        <w:spacing w:after="0" w:line="240" w:lineRule="auto"/>
      </w:pPr>
      <w:r>
        <w:separator/>
      </w:r>
    </w:p>
  </w:footnote>
  <w:footnote w:type="continuationSeparator" w:id="0">
    <w:p w:rsidR="00A31104" w:rsidRDefault="00A31104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C64EC"/>
    <w:rsid w:val="0046573B"/>
    <w:rsid w:val="00472D34"/>
    <w:rsid w:val="004914B6"/>
    <w:rsid w:val="00495496"/>
    <w:rsid w:val="004A159E"/>
    <w:rsid w:val="004F4827"/>
    <w:rsid w:val="005420D1"/>
    <w:rsid w:val="00563A28"/>
    <w:rsid w:val="005F102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1104"/>
    <w:rsid w:val="00A35809"/>
    <w:rsid w:val="00A416B6"/>
    <w:rsid w:val="00A466F4"/>
    <w:rsid w:val="00A75B1D"/>
    <w:rsid w:val="00A87E8A"/>
    <w:rsid w:val="00AF6151"/>
    <w:rsid w:val="00B42E90"/>
    <w:rsid w:val="00B74F96"/>
    <w:rsid w:val="00BE1987"/>
    <w:rsid w:val="00C34846"/>
    <w:rsid w:val="00C4094C"/>
    <w:rsid w:val="00C51413"/>
    <w:rsid w:val="00CB4EBF"/>
    <w:rsid w:val="00CC5D39"/>
    <w:rsid w:val="00D139EB"/>
    <w:rsid w:val="00D770F2"/>
    <w:rsid w:val="00DE65E7"/>
    <w:rsid w:val="00E104C8"/>
    <w:rsid w:val="00E115D8"/>
    <w:rsid w:val="00EA6839"/>
    <w:rsid w:val="00ED3937"/>
    <w:rsid w:val="00ED4F53"/>
    <w:rsid w:val="00ED7AC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824E-39A4-4E87-9861-B125776F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2022-12-13T06:44:00Z</dcterms:created>
  <dcterms:modified xsi:type="dcterms:W3CDTF">2022-12-13T06:44:00Z</dcterms:modified>
</cp:coreProperties>
</file>